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(t.j. Dz.U.</w:t>
      </w:r>
      <w:r w:rsidR="00CA4824">
        <w:t>2025.450</w:t>
      </w:r>
      <w:r w:rsidR="00E05292" w:rsidRPr="00E05292">
        <w:t>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r w:rsidR="00E05292">
        <w:t>t.j.</w:t>
      </w:r>
      <w:r w:rsidR="00E05292" w:rsidRPr="00E05292">
        <w:t xml:space="preserve"> Dz. U. </w:t>
      </w:r>
      <w:r w:rsidR="00CA4824">
        <w:t>2025.1461),</w:t>
      </w:r>
      <w:r w:rsidR="00E05292" w:rsidRPr="00E05292">
        <w:t xml:space="preserve">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CA4824">
        <w:t>Kardiologii</w:t>
      </w:r>
      <w:r w:rsidR="008E64A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6D4D4D">
        <w:t>240</w:t>
      </w:r>
      <w:r w:rsidR="00DD743B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>
        <w:t>160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Oddziale </w:t>
      </w:r>
      <w:r w:rsidR="00CA4824">
        <w:rPr>
          <w:b/>
          <w:i/>
          <w:sz w:val="23"/>
          <w:szCs w:val="23"/>
        </w:rPr>
        <w:t>Kardiologii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CA4824" w:rsidRPr="002801B0" w:rsidRDefault="007F28DD" w:rsidP="00CA4824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</w:p>
    <w:p w:rsidR="00881624" w:rsidRDefault="00CA4824" w:rsidP="00CA4824">
      <w:pPr>
        <w:spacing w:line="276" w:lineRule="auto"/>
        <w:jc w:val="both"/>
      </w:pPr>
      <w:r>
        <w:t xml:space="preserve">             </w:t>
      </w:r>
      <w:r w:rsidR="007E3EBD" w:rsidRPr="002801B0">
        <w:t>w dziedzinie</w:t>
      </w:r>
      <w:r w:rsidR="00DD743B">
        <w:t xml:space="preserve"> </w:t>
      </w:r>
      <w:r>
        <w:t>Kardiologii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Oddziale </w:t>
      </w:r>
      <w:r w:rsidR="00CA4824">
        <w:rPr>
          <w:b/>
          <w:i/>
          <w:sz w:val="23"/>
          <w:szCs w:val="23"/>
        </w:rPr>
        <w:t>Kardiologii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DD743B">
        <w:rPr>
          <w:b/>
          <w:i/>
        </w:rPr>
        <w:t xml:space="preserve">          </w:t>
      </w:r>
      <w:r w:rsidR="00CA4824">
        <w:rPr>
          <w:b/>
          <w:i/>
        </w:rPr>
        <w:t xml:space="preserve">         </w:t>
      </w:r>
      <w:r w:rsidR="00DD743B">
        <w:rPr>
          <w:b/>
          <w:i/>
        </w:rPr>
        <w:t xml:space="preserve"> 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przeciwskazań do 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CA4824">
        <w:t>01.12.2025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CA4824">
        <w:t>19.11.</w:t>
      </w:r>
      <w:r w:rsidR="006D4D4D">
        <w:t>2025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CA4824">
        <w:t>21.11</w:t>
      </w:r>
      <w:bookmarkStart w:id="4" w:name="_GoBack"/>
      <w:bookmarkEnd w:id="4"/>
      <w:r w:rsidR="006D4D4D">
        <w:t>.2025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lastRenderedPageBreak/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81E" w:rsidRDefault="009E181E" w:rsidP="000267F7">
      <w:r>
        <w:separator/>
      </w:r>
    </w:p>
  </w:endnote>
  <w:endnote w:type="continuationSeparator" w:id="0">
    <w:p w:rsidR="009E181E" w:rsidRDefault="009E181E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CA4824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81E" w:rsidRDefault="009E181E" w:rsidP="000267F7">
      <w:r>
        <w:separator/>
      </w:r>
    </w:p>
  </w:footnote>
  <w:footnote w:type="continuationSeparator" w:id="0">
    <w:p w:rsidR="009E181E" w:rsidRDefault="009E181E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181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824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D743B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ED603-39F1-4F47-A993-B47815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14</cp:revision>
  <cp:lastPrinted>2024-12-05T11:57:00Z</cp:lastPrinted>
  <dcterms:created xsi:type="dcterms:W3CDTF">2023-11-13T11:24:00Z</dcterms:created>
  <dcterms:modified xsi:type="dcterms:W3CDTF">2025-11-03T10:09:00Z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